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600"/>
      </w:pPr>
      <w:r>
        <w:rPr>
          <w:rFonts w:ascii="Calibri" w:cs="Calibri" w:eastAsia="Calibri" w:hAnsi="Calibri"/>
          <w:b/>
          <w:bCs/>
          <w:color w:val="C2410C"/>
          <w:sz w:val="20"/>
          <w:szCs w:val="20"/>
        </w:rPr>
        <w:t xml:space="preserve">BOZZA – DOCUMENTO DA VALIDARE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F2937"/>
          <w:sz w:val="48"/>
          <w:szCs w:val="48"/>
        </w:rPr>
        <w:t xml:space="preserve">Policy sull’uso dell’intelligenza artificiale</w:t>
      </w:r>
    </w:p>
    <w:p>
      <w:pPr>
        <w:spacing w:after="360"/>
      </w:pPr>
      <w:r>
        <w:rPr>
          <w:rFonts w:ascii="Calibri" w:cs="Calibri" w:eastAsia="Calibri" w:hAnsi="Calibri"/>
          <w:color w:val="6B7280"/>
          <w:sz w:val="24"/>
          <w:szCs w:val="24"/>
        </w:rPr>
        <w:t xml:space="preserve">Modello per [Azienda] – nucleo della policy e schede per servizio (Microsoft 365 Copilot, ChatGPT, Claude)</w:t>
      </w:r>
    </w:p>
    <w:p>
      <w:pPr>
        <w:spacing w:after="80"/>
      </w:pPr>
      <w:r>
        <w:rPr>
          <w:rFonts w:ascii="Calibri" w:cs="Calibri" w:eastAsia="Calibri" w:hAnsi="Calibri"/>
          <w:color w:val="6B7280"/>
          <w:sz w:val="21"/>
          <w:szCs w:val="21"/>
        </w:rPr>
        <w:t xml:space="preserve">Modello gratuito a cura di </w:t>
      </w: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Francesco Gruner</w:t>
      </w:r>
      <w:r>
        <w:rPr>
          <w:rFonts w:ascii="Calibri" w:cs="Calibri" w:eastAsia="Calibri" w:hAnsi="Calibri"/>
          <w:color w:val="6B7280"/>
          <w:sz w:val="21"/>
          <w:szCs w:val="21"/>
        </w:rPr>
        <w:t xml:space="preserve"> · </w:t>
      </w:r>
      <w:hyperlink w:history="1" r:id="rIdy7vqn-elm7bi_jkfmevvl">
        <w:r>
          <w:rPr>
            <w:rFonts w:ascii="Calibri" w:cs="Calibri" w:eastAsia="Calibri" w:hAnsi="Calibri"/>
            <w:color w:val="C2410C"/>
            <w:sz w:val="21"/>
            <w:szCs w:val="21"/>
            <w:u w:val="single"/>
          </w:rPr>
          <w:t xml:space="preserve">francescogruner.it</w:t>
        </w:r>
      </w:hyperlink>
      <w:r>
        <w:rPr>
          <w:rFonts w:ascii="Calibri" w:cs="Calibri" w:eastAsia="Calibri" w:hAnsi="Calibri"/>
          <w:color w:val="6B7280"/>
          <w:sz w:val="21"/>
          <w:szCs w:val="21"/>
        </w:rPr>
        <w:t xml:space="preserve"> · Versione 0.2 – ottobre 2026</w:t>
      </w:r>
    </w:p>
    <w:p>
      <w:pPr>
        <w:spacing w:after="28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Puoi utilizzare e modificare liberamente questo modello all’interno della tua organizzazione. Puoi condividerlo citando la fonte (francescogruner.it). Non può essere rivenduto né redistribuito come modello proprio senza autorizzazione.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Valore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Versione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0.2 – bozza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Stato pubblico dei servizi verificato al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2 ottobre 2026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 del documento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Approvazione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[Direzione], dopo validazione legale – vedi tabella sotto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Prossimo riesame</w:t>
            </w:r>
          </w:p>
        </w:tc>
        <w:tc>
          <w:tcPr>
            <w:tcW w:type="dxa" w:w="626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[data]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97706" w:sz="12"/>
              <w:bottom w:val="none" w:color="FFFFFF" w:sz="0"/>
              <w:right w:val="none" w:color="FFFFFF" w:sz="0"/>
            </w:tcBorders>
            <w:shd w:fill="FEF3C7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Avvertenza importante.</w:t>
            </w: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 Questo documento è una </w:t>
            </w:r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bozza di modello</w:t>
            </w: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 a scopo informativo e organizzativo. </w:t>
            </w:r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Non è un parere legale</w:t>
            </w: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 e non sostituisce la consulenza di professionisti.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Prima dell’adozione deve essere verificato e adattato dall’ufficio legale o da un consulente legale, dalle Risorse Umane (per gli aspetti disciplinari e del rapporto di lavoro, incluso il coinvolgimento delle rappresentanze sindacali dove previsto) e, se presenti, dalle funzioni compliance e sicurezza. Il DPO o referente privacy deve essere coinvolto con funzione di consulenza e vigilanza per gli aspetti di protezione dei dati.</w:t>
            </w:r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/>
            </w: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/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Le informazioni sui servizi (regioni, impostazioni predefinite, subfornitori, termini) cambiano spesso: vanno ricontrollate sul proprio contratto e sul proprio tenant prima dell’uso. Chi adotta il documento ne resta l’unico responsabile.</w:t>
            </w:r>
          </w:p>
        </w:tc>
      </w:tr>
    </w:tbl>
    <w:p>
      <w:pPr>
        <w:spacing w:after="80"/>
      </w:pPr>
    </w:p>
    <w:p>
      <w:pPr>
        <w:pStyle w:val="Heading2"/>
        <w:spacing w:after="100" w:before="240"/>
      </w:pPr>
      <w:r>
        <w:t xml:space="preserve">Validazione richiesta prima dell’adozione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1542"/>
        <w:gridCol w:w="1157"/>
        <w:gridCol w:w="1542"/>
      </w:tblGrid>
      <w:tr>
        <w:trPr>
          <w:tblHeader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Funzione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Nome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Esito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Firma</w:t>
            </w:r>
          </w:p>
        </w:tc>
      </w:tr>
      <w:tr>
        <w:trPr>
          <w:tblHeader w:val="false"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Legale / consulente legale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DPO / Privacy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Risorse Umane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IT / Sicurezza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32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Direzione (approvazione finale)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r>
        <w:br w:type="page"/>
      </w:r>
    </w:p>
    <w:p>
      <w:pPr>
        <w:pStyle w:val="Heading1"/>
        <w:spacing w:after="160" w:before="360"/>
      </w:pPr>
      <w:r>
        <w:t xml:space="preserve">Come usare il modello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Il documento ha un nucleo breve (sezioni 1–6), che cambia poco, e allegati per servizio da aggiornare spesso.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Sostituire i segnaposto tra parentesi quadre: [Azienda], [Owner AI], [DPO], [data].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Tenere il nucleo corto: le regole cambiano poco, gli allegati spesso.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Compilare una scheda servizio (Allegati A–D) per ogni strumento in catalogo, verificandola sul proprio tenant e contratto.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Far valutare il documento dalle funzioni indicate in copertina e approvarlo in Direzione; le schede sono approvate dall’Owner AI con il supporto di IT e delle altre funzioni competenti e con il coinvolgimento del DPO per gli aspetti privacy.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Riesaminare le schede ogni 3 mesi e a ogni cambio di piano, modello o termini del fornitore.</w:t>
      </w:r>
    </w:p>
    <w:p>
      <w:pPr>
        <w:pStyle w:val="Heading1"/>
        <w:spacing w:after="160" w:before="360"/>
      </w:pPr>
      <w:r>
        <w:t xml:space="preserve">1. Scopo, ambito e ruoli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Scopo.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[Azienda] consente l’uso di strumenti di intelligenza artificiale generativa solo se autorizzati, configurati e usati secondo questa policy, per proteggere dati, clienti e qualità del lavoro.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Ambito.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Vale per dipendenti, collaboratori e fornitori che operano per conto di [Azienda], su qualsiasi dispositivo, per ogni uso legato al lavoro: chat, assistenti integrati in Office, plugin, connettori, agenti e API.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Ruoli.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1735"/>
        <w:gridCol w:w="5783"/>
      </w:tblGrid>
      <w:tr>
        <w:trPr>
          <w:tblHeader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Ruolo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Chi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Responsabilità</w:t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 AI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Tiene il catalogo e le schede servizio, approva nuovi casi d’uso, coordina il riesame</w:t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IT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Configura tenant, SSO/MFA, DLP, log, modelli abilitati; revoca gli accessi</w:t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DPO / Privacy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Fornisce consulenza e pareri sugli aspetti privacy e sulle DPIA; monitora la conformità alla normativa sulla protezione dei dati.</w:t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Responsabili di funzione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[per reparto]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Definiscono i casi d’uso del reparto e vigilano sull’uso dell’output</w:t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Utenti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tutti</w:t>
            </w:r>
          </w:p>
        </w:tc>
        <w:tc>
          <w:tcPr>
            <w:tcW w:type="dxa" w:w="578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Usano solo strumenti in catalogo, rispettano le regole sui dati, segnalano incidenti</w:t>
            </w:r>
          </w:p>
        </w:tc>
      </w:tr>
    </w:tbl>
    <w:p>
      <w:pPr>
        <w:pStyle w:val="Heading1"/>
        <w:spacing w:after="160" w:before="360"/>
      </w:pPr>
      <w:r>
        <w:t xml:space="preserve">2. Catalogo degli strumenti autorizzati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Si usano solo gli strumenti elencati qui, con account aziendale e accesso tramite SSO. Ogni voce rimanda alla sua scheda servizio.</w:t>
      </w:r>
    </w:p>
    <w:p>
      <w:r>
        <w:rPr>
          <w:b/>
        </w:rPr>
        <w:t xml:space="preserve">Nota sul ruolo del DPO: </w:t>
      </w:r>
      <w:r>
        <w:t>il DPO svolge funzioni di consulenza e vigilanza e fornisce il proprio parere sulle DPIA. La responsabilità delle decisioni sul trattamento e dell’eventuale DPIA rimane in capo al Titolare del trattamento.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120"/>
        <w:gridCol w:w="1157"/>
        <w:gridCol w:w="1542"/>
        <w:gridCol w:w="1157"/>
        <w:gridCol w:w="1734"/>
      </w:tblGrid>
      <w:tr>
        <w:trPr>
          <w:tblHeader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Strumento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Piano / canale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Utenti o gruppi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Scheda</w:t>
            </w:r>
          </w:p>
        </w:tc>
        <w:tc>
          <w:tcPr>
            <w:tcW w:type="dxa" w:w="17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Stato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Microsoft 365 Copilot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[licenza]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[gruppo Entra]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Allegato A</w:t>
            </w:r>
          </w:p>
        </w:tc>
        <w:tc>
          <w:tcPr>
            <w:tcW w:type="dxa" w:w="17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[attivo / in prova / sospeso]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ChatGPT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[Business / Enterprise]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[gruppo]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Allegato B</w:t>
            </w:r>
          </w:p>
        </w:tc>
        <w:tc>
          <w:tcPr>
            <w:tcW w:type="dxa" w:w="17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[Team / Enterprise / Bedrock / Vertex]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[nome]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[gruppo]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Allegato C</w:t>
            </w:r>
          </w:p>
        </w:tc>
        <w:tc>
          <w:tcPr>
            <w:tcW w:type="dxa" w:w="17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[altro]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Allegato D</w:t>
            </w:r>
          </w:p>
        </w:tc>
        <w:tc>
          <w:tcPr>
            <w:tcW w:type="dxa" w:w="17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Regole.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Vietato usare account personali o gratuiti per dati o attività di lavoro.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Plugin, connettori, agenti, estensioni del browser e modelli alternativi si abilitano solo dopo l’approvazione dell’Owner AI, uno per uno.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Un nuovo strumento entra in catalogo solo con la sua scheda compilata e approvata.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L’IT blocca o segnala, dove tecnicamente possibile, gli strumenti non in catalogo.</w:t>
      </w:r>
    </w:p>
    <w:p>
      <w:pPr>
        <w:pStyle w:val="Heading1"/>
        <w:spacing w:after="160" w:before="360"/>
      </w:pPr>
      <w:r>
        <w:t xml:space="preserve">3. Regole sui dati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Ogni informazione rientra in una di quattro categorie, e la categoria decide in quale strumento può entrare.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855"/>
        <w:gridCol w:w="3855"/>
      </w:tblGrid>
      <w:tr>
        <w:trPr>
          <w:tblHeader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Esempi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Regola generale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Pubblico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Sito web, brochure, documentazione pubblica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Ammesso in tutti gli strumenti in catalogo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Interno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Procedure, bozze, verbali senza dati personali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Ammesso negli strumenti in catalogo con account aziendale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Riservato / del cliente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Offerte, contratti, dati di clienti, dati personali comuni, codice sorgente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Solo negli strumenti la cui scheda lo consente, per casi d’uso approvati e nel rispetto degli accordi con il cliente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Critico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Credenziali, chiavi, categorie particolari (art. 9 GDPR), dati giudiziari, segreti industriali</w:t>
            </w:r>
          </w:p>
        </w:tc>
        <w:tc>
          <w:tcPr>
            <w:tcW w:type="dxa" w:w="38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Vietato, salvo eccezione formalmente autorizzata dal Titolare del trattamento e dalle funzioni aziendali competenti, previa valutazione privacy e consultazione del DPO ove previsto.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Matrice dati × strumento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(da compilare in base alle schede servizio):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349"/>
        <w:gridCol w:w="1349"/>
        <w:gridCol w:w="2891"/>
        <w:gridCol w:w="1350"/>
      </w:tblGrid>
      <w:tr>
        <w:trPr>
          <w:tblHeader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Strumento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Pubblico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Interno</w:t>
            </w:r>
          </w:p>
        </w:tc>
        <w:tc>
          <w:tcPr>
            <w:tcW w:type="dxa" w:w="289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Riservato / del cliente</w:t>
            </w:r>
          </w:p>
        </w:tc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Critico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Microsoft 365 Copilot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289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[sì / no / solo per i casi d’uso X]</w:t>
            </w:r>
          </w:p>
        </w:tc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ChatGPT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289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Sì</w:t>
            </w:r>
          </w:p>
        </w:tc>
        <w:tc>
          <w:tcPr>
            <w:tcW w:type="dxa" w:w="289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No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Regole sempre valide.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Inserire il minimo necessario: anonimizzare o pseudonimizzare quando possibile.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Non incollare mai password, token, chiavi API o segreti.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Connettori e grounding (SharePoint, posta, Drive) espongono i dati a cui l’utente ha accesso: prima di attivarli si verificano i permessi.</w:t>
      </w:r>
    </w:p>
    <w:p>
      <w:pPr>
        <w:pStyle w:val="Heading1"/>
        <w:spacing w:after="160" w:before="360"/>
      </w:pPr>
      <w:r>
        <w:t xml:space="preserve">4. Uso dell’output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Chi usa l’output di uno strumento AI ne resta responsabile come se l’avesse scritto da sé.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Verifica umana.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Fatti, numeri, citazioni, codice e riferimenti normativi si controllano prima dell’uso. Nessuna decisione su persone (assunzioni, valutazioni, crediti) si basa solo sull’output AI.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Trasparenza verso l’esterno.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Chatbot e assistenti esposti a clienti o al pubblico dichiarano di essere AI. Immagini, audio e video generati o manipolati che possono sembrare reali si etichettano come tali (AI Act, art. 50).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Professioni intellettuali.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Dove si applica la L. 132/2025, art. 13, l’AI è solo di supporto all’attività professionale e il cliente va informato dei sistemi usati, con linguaggio chiaro. [Inserire la formula di informativa adottata, validata dal legale.]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Proprietà intellettuale.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Non si caricano opere di terzi senza diritto di farlo; per i contenuti pubblicati si verifica che non riproducano materiale protetto.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Codice.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Il codice generato passa la stessa revisione e gli stessi test del codice scritto a mano.</w:t>
      </w:r>
    </w:p>
    <w:p>
      <w:pPr>
        <w:pStyle w:val="Heading1"/>
        <w:spacing w:after="160" w:before="360"/>
      </w:pPr>
      <w:r>
        <w:t xml:space="preserve">5. Sicurezza e incidenti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 controlli tecnici fanno rispettare la policy; il documento da solo non basta.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Controlli minimi (IT).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Accesso solo con SSO aziendale e MFA; provisioning e revoca per gruppi.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DLP ed etichette di riservatezza applicate anche agli strumenti AI, dove supportato.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Log di audit attivi e conservati per [n] mesi.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Modelli, connettori e plugin abilitati solo per i gruppi previsti nella scheda.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Retention delle conversazioni impostata come da scheda servizio.</w:t>
      </w:r>
    </w:p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Cosa è un incidente AI.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Dati riservati o critici inseriti in uno strumento non ammesso; output che espone dati a chi non dovrebbe vederli; prompt injection da documenti, email o pagine web che porta l’assistente ad azioni non volute; uso di account non autorizzati.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Cosa fare.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Interrompere l’attività e non cancellare la conversazione.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Segnalare entro [n] ore a [canale / indirizzo].</w:t>
      </w:r>
    </w:p>
    <w:p>
      <w:pPr>
        <w:pStyle w:val="ListParagraph"/>
        <w:numPr>
          <w:ilvl w:val="0"/>
          <w:numId w:val="4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Il Titolare, con il supporto delle funzioni competenti e il coinvolgimento del DPO ove previsto, valuta l’evento anche ai fini dell’eventuale notifica di data breach ai sensi dell’art. 33 GDPR e, se applicabile, degli obblighi NIS2.</w:t>
      </w:r>
    </w:p>
    <w:p>
      <w:pPr>
        <w:pStyle w:val="Heading1"/>
        <w:spacing w:after="160" w:before="360"/>
      </w:pPr>
      <w:r>
        <w:t xml:space="preserve">6. Formazione, eccezioni e riesame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Formazione.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Chi riceve accesso a uno strumento AI completa prima una formazione di base su funzionamento, limiti, regole sui dati e sicurezza (alfabetizzazione AI, AI Act art. 4). La partecipazione si registra; i ruoli tecnici e chi usa connettori o agenti seguono un modulo aggiuntivo.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Eccezioni.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Un uso non previsto si chiede per iscritto all’Owner AI, indicando caso d’uso, dati, strumento e durata. L’eccezione vale al massimo [6] mesi e si registra nell’Allegato D.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Riesame.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Ogni 3 mesi: schede servizio, modelli abilitati, termini e subfornitori, impostazioni del tenant.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Ogni anno: nucleo della policy, esiti della formazione, incidenti, casi d’uso.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Subito: a ogni nuovo strumento, cambio di piano o modifica rilevante dei termini o della normativa.</w:t>
      </w:r>
    </w:p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Violazioni.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Il mancato rispetto della policy può comportare la revoca dell’accesso e i provvedimenti previsti dal regolamento aziendale e dal CCNL. [Formulazione da validare con HR e legale.]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Approvata da [Direzione] il [data] · Prossimo riesame: [data]</w:t>
      </w:r>
    </w:p>
    <w:p>
      <w:r>
        <w:br w:type="page"/>
      </w:r>
    </w:p>
    <w:p>
      <w:pPr>
        <w:pStyle w:val="Heading1"/>
        <w:spacing w:after="160" w:before="360"/>
      </w:pPr>
      <w:r>
        <w:t xml:space="preserve">Allegato A – Scheda servizio: Microsoft 365 Copilot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Copilot resta nel perimetro Microsoft 365 per identità e permessi, ma l’elaborazione può uscire dall’EU Data Boundary a seconda di Flex Routing e dei modelli abilitati.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4241"/>
        <w:gridCol w:w="2698"/>
      </w:tblGrid>
      <w:tr>
        <w:trPr>
          <w:tblHeader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Stato pubblico (2/10/2026)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Valore nel nostro tenant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Licenze e utenti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 licenze, gruppo Entra]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Addestramento sui dati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Dati del tenant non usati per addestrare i modelli di base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[confermato sì/no]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Flex Routing (UE/EFTA)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Se attivo, prompt, risposte e grounding possono essere elaborati in USA, Canada o Australia; dal 25/3/2026 può essere attivo di default per i tenant idonei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[attivo / disattivato, data verifica]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Modelli Anthropic – impostazione generale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«AI providers operating as Microsoft subprocessors»: fuori dall’EU Data Boundary, disattivata di default in UE/EFTA/UK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[stato, gruppi inclusi]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Modelli Anthropic – Word, Excel, PowerPoint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Controllo separato; nei tenant creati dopo il 25/3/2026 può essere attivo di default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[stato, gruppi inclusi]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Altri fornitori (es. Mistral)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Fornitori indipendenti: termini propri, non coperti come subprocessori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[abilitati sì/no]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Agenti, connettori, plugin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[elenco approvato]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Retention e audit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[criteri Purview, log]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Categorie di dati ammesse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matrice sezione 3]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Casi d’uso approvati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[riferimento Allegato D]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Owner, ultima verifica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[nome, data]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Le colonne «Stato pubblico» riportano informazioni pubbliche al 2 ottobre 2026, da ricontrollare sulla documentazione ufficiale e sul proprio contratto prima dell’uso.</w:t>
      </w:r>
    </w:p>
    <w:p>
      <w:pPr>
        <w:pStyle w:val="Heading1"/>
        <w:spacing w:after="160" w:before="360"/>
      </w:pPr>
      <w:r>
        <w:t xml:space="preserve">Allegato B – Scheda servizio: ChatGPT Business / Enterprise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«Non addestriamo sui dati business» e «i dati restano in UE» sono due garanzie diverse: la seconda dipende dal piano e dalla configurazione.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4241"/>
        <w:gridCol w:w="2698"/>
      </w:tblGrid>
      <w:tr>
        <w:trPr>
          <w:tblHeader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Stato pubblico (2/10/2026)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Valore nel nostro workspace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Piano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Business o Enterprise (account personali Free/Plus/Pro esclusi)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[piano, n posti]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Addestramento sui dati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Dati business non usati per l’addestramento di default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[confermato sì/no]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Residenza dei dati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Opzioni di residenza e di inference residency differenti tra Business ed Enterprise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[regione scelta, data attivazione]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DPA e subfornitori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DPA OpenAI, elenco subprocessori pubblicato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[versione firmata, data]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SSO, SCIM, ruoli admin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Dipende dal piano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[configurazione]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Retention conversazioni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Configurabile secondo il piano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[giorni]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Connettori, GPT personalizzati, agenti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[elenco approvato]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Categorie di dati ammesse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matrice sezione 3]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Casi d’uso approvati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[riferimento Allegato D]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Owner, ultima verifica</w:t>
            </w:r>
          </w:p>
        </w:tc>
        <w:tc>
          <w:tcPr>
            <w:tcW w:type="dxa" w:w="42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26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[nome, data]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Le colonne «Stato pubblico» riportano informazioni pubbliche al 2 ottobre 2026, da ricontrollare sulla documentazione ufficiale e sul proprio contratto prima dell’uso.</w:t>
      </w:r>
    </w:p>
    <w:p>
      <w:pPr>
        <w:pStyle w:val="Heading1"/>
        <w:spacing w:after="160" w:before="360"/>
      </w:pPr>
      <w:r>
        <w:t xml:space="preserve">Allegato C – Scheda servizio: Claude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Il perimetro dei dati dipende dal canale: con Anthropic diretto non c’è residenza solo UE, tramite alcune piattaforme cloud sì. Compilare una colonna per ogni canale effettivamente usato.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120"/>
        <w:gridCol w:w="1735"/>
        <w:gridCol w:w="1735"/>
        <w:gridCol w:w="2120"/>
      </w:tblGrid>
      <w:tr>
        <w:trPr>
          <w:tblHeader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Anthropic diretto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AWS Bedrock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Google Vertex AI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Microsoft Foundry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Stato pubblico (2/10/2026)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Dati archiviati negli USA, richieste instradabili su più regioni; nessuna residenza solo UE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Endpoint regionali o profili EU Geo per alcuni modelli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Endpoint multi-regione UE per i modelli supportati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Versioni su infrastruttura Anthropic o su Azure; Data Zone Standard elencato per alcune versioni solo negli USA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Addestramento sui dati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Dati commerciali non usati salvo accordi espliciti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contratto AWS]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contratto Google]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contratto Microsoft]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Regione / profilo scelto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—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[es. EU Geo]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[es. europe-west]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[deployment]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Contratto e DPA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Termini commerciali Anthropic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Contratto AWS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Contratto Google Cloud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Contratto Microsoft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Retention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Connettori, MCP, agenti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[elenco approvato]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Categorie di dati ammesse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[da matrice]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Owner, ultima verifica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[nome, data]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  <w:tc>
          <w:tcPr>
            <w:tcW w:type="dxa" w:w="21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Le colonne «Stato pubblico» riportano informazioni pubbliche al 2 ottobre 2026, da ricontrollare sulla documentazione ufficiale e sul proprio contratto prima dell’uso.</w:t>
      </w:r>
    </w:p>
    <w:p>
      <w:r>
        <w:br w:type="page"/>
      </w:r>
    </w:p>
    <w:p>
      <w:pPr>
        <w:pStyle w:val="Heading1"/>
        <w:spacing w:after="160" w:before="360"/>
      </w:pPr>
      <w:r>
        <w:t xml:space="preserve">Allegato D – Scheda vuota, casi d’uso e screening DPIA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Scheda servizio vuota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(copiarla per ogni nuovo strumento):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Valore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Strumento, fornitore, piano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Ruolo del fornitore (responsabile, subresponsabile, titolare autonomo)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Addestramento sui dati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Regioni di archiviazione ed elaborazione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Subfornitori rilevanti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Retention e cancellazione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SSO, MFA, log, DLP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Connettori, plugin, agenti abilitati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Categorie di dati ammesse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Owner, approvazione, ultima verifica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Registro casi d’uso e screening DPIA: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1060"/>
        <w:gridCol w:w="1060"/>
        <w:gridCol w:w="964"/>
        <w:gridCol w:w="867"/>
        <w:gridCol w:w="1157"/>
        <w:gridCol w:w="964"/>
        <w:gridCol w:w="964"/>
        <w:gridCol w:w="1060"/>
      </w:tblGrid>
      <w:tr>
        <w:trPr>
          <w:tblHeader/>
        </w:trPr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Caso d’uso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Reparto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Strumento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Dati</w:t>
            </w:r>
          </w:p>
        </w:tc>
        <w:tc>
          <w:tcPr>
            <w:tcW w:type="dxa" w:w="86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Dati pers.?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Decisioni su persone?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DPIA?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Esito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Approvato da, data</w:t>
            </w:r>
          </w:p>
        </w:tc>
      </w:tr>
      <w:tr>
        <w:trPr>
          <w:tblHeader w:val="false"/>
        </w:trPr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[es. bozze di offerte]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[Commerciale]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[Copilot]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[Riservato]</w:t>
            </w:r>
          </w:p>
        </w:tc>
        <w:tc>
          <w:tcPr>
            <w:tcW w:type="dxa" w:w="86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[sì/no]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[no]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[no, motivo]</w:t>
            </w:r>
          </w:p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[approvato]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86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86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96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160" w:before="10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Un sì a «Decisioni su persone», il trattamento di categorie particolari di dati o il monitoraggio sistematico richiede una valutazione specifica della necessità di una DPIA da parte del Titolare del trattamento, consultando il DPO ove designato.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Registro eccezioni: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2506"/>
        <w:gridCol w:w="1349"/>
        <w:gridCol w:w="1157"/>
        <w:gridCol w:w="1542"/>
        <w:gridCol w:w="1349"/>
      </w:tblGrid>
      <w:tr>
        <w:trPr>
          <w:tblHeader/>
        </w:trPr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Richiedente</w:t>
            </w:r>
          </w:p>
        </w:tc>
        <w:tc>
          <w:tcPr>
            <w:tcW w:type="dxa" w:w="2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Uso richiesto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Dati</w:t>
            </w:r>
          </w:p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Durata</w:t>
            </w:r>
          </w:p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Approvato da</w:t>
            </w:r>
          </w:p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Scadenza</w:t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2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tblHeader w:val="false"/>
        </w:trPr>
        <w:tc>
          <w:tcPr>
            <w:tcW w:type="dxa" w:w="17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2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1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54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dxa" w:w="1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Style w:val="Heading2"/>
        <w:spacing w:after="100" w:before="240"/>
      </w:pPr>
      <w:r>
        <w:t xml:space="preserve">Riferimenti normativi richiamati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Regolamento (UE) 2016/679 (GDPR), in particolare artt. 9, 33 e 35.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Regolamento (UE) 2024/1689 (AI Act), artt. 4 e 50, come modificato dal Regolamento (UE) 2026/1744.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Legge 23 settembre 2025, n. 132, art. 13 (professioni intellettuali).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Direttiva (UE) 2022/2555 (NIS2) e D.Lgs. 138/2024, se applicabili.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97706" w:sz="12"/>
              <w:bottom w:val="none" w:color="FFFFFF" w:sz="0"/>
              <w:right w:val="none" w:color="FFFFFF" w:sz="0"/>
            </w:tcBorders>
            <w:shd w:fill="FEF3C7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Promemoria: bozza di modello, non parere legale. Da valutare con legale, HR e funzioni preposte, con il coinvolgimento del DPO per gli aspetti privacy, e da approvare dalla Direzione prima dell’adozione.</w:t>
            </w: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Policy AI – bozza di modello v0.2 · francescogruner.it · Non costituisce parere legale · Pagina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b/>
        <w:bCs/>
        <w:color w:val="C2410C"/>
        <w:sz w:val="16"/>
        <w:szCs w:val="16"/>
      </w:rPr>
      <w:t xml:space="preserve">BOZZA – da approvare dalla Direzione dopo le valutazioni delle funzioni competenti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C2410C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y7vqn-elm7bi_jkfmevvl" Type="http://schemas.openxmlformats.org/officeDocument/2006/relationships/hyperlink" Target="https://francescogruner.it/" TargetMode="External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AI aziendale – bozza di modello</dc:title>
  <dc:creator>Francesco Gruner</dc:creator>
  <cp:lastModifiedBy>Un-named</cp:lastModifiedBy>
  <cp:revision>1</cp:revision>
  <dcterms:created xsi:type="dcterms:W3CDTF">2026-10-02T17:28:37.102Z</dcterms:created>
  <dcterms:modified xsi:type="dcterms:W3CDTF">2026-10-02T17:28:37.105Z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